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1851" w14:textId="161923F7" w:rsidR="003E48F4" w:rsidRPr="00131871" w:rsidRDefault="003E48F4" w:rsidP="00131871">
      <w:pPr>
        <w:jc w:val="both"/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Efficacy and Safety of Target Alpha Therapy with Actinium-PSMA in Metastatic Castration-Resistant Prostate Cancer: A</w:t>
      </w:r>
      <w:r w:rsidR="00131871" w:rsidRPr="00131871">
        <w:rPr>
          <w:b/>
          <w:bCs/>
          <w:sz w:val="28"/>
          <w:szCs w:val="28"/>
        </w:rPr>
        <w:t xml:space="preserve"> </w:t>
      </w:r>
      <w:r w:rsidRPr="00131871">
        <w:rPr>
          <w:b/>
          <w:bCs/>
          <w:sz w:val="28"/>
          <w:szCs w:val="28"/>
        </w:rPr>
        <w:t>Systematic Review and Meta-Analysis</w:t>
      </w:r>
    </w:p>
    <w:p w14:paraId="6B70BB8E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Abstract</w:t>
      </w:r>
    </w:p>
    <w:p w14:paraId="5A304981" w14:textId="69FC22C0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 xml:space="preserve">Background: </w:t>
      </w:r>
      <w:r w:rsidRPr="00131871">
        <w:t>Metastatic castration-resistant prostate cancer (mCRPC) presents significant treatment</w:t>
      </w:r>
      <w:r w:rsidR="00131871" w:rsidRPr="00131871">
        <w:t xml:space="preserve"> </w:t>
      </w:r>
      <w:r w:rsidRPr="00131871">
        <w:t>challenges after progression on conventional therapies. Target alpha therapy (TAT) with actinium-225-</w:t>
      </w:r>
      <w:r w:rsidR="00131871" w:rsidRPr="00131871">
        <w:t xml:space="preserve"> </w:t>
      </w:r>
      <w:r w:rsidRPr="00131871">
        <w:t>labeled prostate-specific membrane antigen ([²²⁵Ac]Ac-PSMA) has emerged as a potential therapeutic</w:t>
      </w:r>
      <w:r w:rsidR="00131871" w:rsidRPr="00131871">
        <w:t xml:space="preserve"> </w:t>
      </w:r>
      <w:r w:rsidRPr="00131871">
        <w:t>option. This systematic review and meta-analysis evaluated the efficacy and safety of [²²⁵Ac]Ac-PSMA in</w:t>
      </w:r>
      <w:r w:rsidR="00131871" w:rsidRPr="00131871">
        <w:t xml:space="preserve"> </w:t>
      </w:r>
      <w:r w:rsidRPr="00131871">
        <w:t>patients with mCRPC.</w:t>
      </w:r>
    </w:p>
    <w:p w14:paraId="33E02FD7" w14:textId="34CA0FCF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 xml:space="preserve">Methods: </w:t>
      </w:r>
      <w:r w:rsidRPr="00131871">
        <w:t>A comprehensive literature search was conducted to identify studies reporting outcomes of</w:t>
      </w:r>
      <w:r w:rsidR="00131871" w:rsidRPr="00131871">
        <w:t xml:space="preserve"> </w:t>
      </w:r>
      <w:r w:rsidRPr="00131871">
        <w:t>[²²⁵Ac]Ac-PSMA therapy in mCRPC. The primary endpoint was PSA50 response (≥50% decline in PSA</w:t>
      </w:r>
      <w:r w:rsidR="00131871" w:rsidRPr="00131871">
        <w:t xml:space="preserve"> </w:t>
      </w:r>
      <w:r w:rsidRPr="00131871">
        <w:t>from baseline). Secondary endpoints included progression-free survival (PFS), overall survival (OS), and</w:t>
      </w:r>
      <w:r w:rsidR="00131871" w:rsidRPr="00131871">
        <w:t xml:space="preserve"> </w:t>
      </w:r>
      <w:r w:rsidRPr="00131871">
        <w:t>adverse events. Subgroup analyses were performed based on previous treatments and metastatic</w:t>
      </w:r>
      <w:r w:rsidR="00131871" w:rsidRPr="00131871">
        <w:t xml:space="preserve"> </w:t>
      </w:r>
      <w:r w:rsidRPr="00131871">
        <w:t>burden.</w:t>
      </w:r>
    </w:p>
    <w:p w14:paraId="1EF670BF" w14:textId="353D1DF3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 xml:space="preserve">Results: </w:t>
      </w:r>
      <w:r w:rsidRPr="00131871">
        <w:t>Seventeen studies comprising 1,155 patients were included. The pooled PSA50 response rate</w:t>
      </w:r>
      <w:r w:rsidR="00131871" w:rsidRPr="00131871">
        <w:t xml:space="preserve"> </w:t>
      </w:r>
      <w:r w:rsidRPr="00131871">
        <w:t>was 64% (95% CI: 57-71%). Response rates were significantly higher in treatment-naïve patients (78%)</w:t>
      </w:r>
      <w:r w:rsidR="00131871" w:rsidRPr="00131871">
        <w:t xml:space="preserve"> </w:t>
      </w:r>
      <w:r w:rsidRPr="00131871">
        <w:t>compared to those who received one (64%) or multiple (54%) prior therapies for mCRPC (p&lt;0.0001).</w:t>
      </w:r>
      <w:r w:rsidR="00131871" w:rsidRPr="00131871">
        <w:t xml:space="preserve"> </w:t>
      </w:r>
      <w:r w:rsidRPr="00131871">
        <w:t>Patients without prior androgen receptor pathway inhibitors (ARPi) showed better PSA50 responses (72%</w:t>
      </w:r>
      <w:r w:rsidR="00131871" w:rsidRPr="00131871">
        <w:t xml:space="preserve"> </w:t>
      </w:r>
      <w:r w:rsidRPr="00131871">
        <w:t>vs. 54%, p&lt;0.0001). Previous lutetium-177 therapy was associated with lower response rates (50% vs.</w:t>
      </w:r>
      <w:r w:rsidR="00131871" w:rsidRPr="00131871">
        <w:t xml:space="preserve"> </w:t>
      </w:r>
      <w:r w:rsidRPr="00131871">
        <w:t>70%, p&lt;0.0001). Visceral metastases did not significantly impact treatment efficacy. The median PFS</w:t>
      </w:r>
      <w:r w:rsidR="00131871" w:rsidRPr="00131871">
        <w:t xml:space="preserve"> </w:t>
      </w:r>
      <w:r w:rsidRPr="00131871">
        <w:t>ranged from 3 to 15 months, and median OS from 8 to 31 months. The most common adverse events</w:t>
      </w:r>
      <w:r w:rsidR="00131871" w:rsidRPr="00131871">
        <w:t xml:space="preserve"> </w:t>
      </w:r>
      <w:r w:rsidRPr="00131871">
        <w:t>were xerostomia (77%), anemia (68%), and fatigue (61%), with grade ≥3 toxicities including anemia (11%),</w:t>
      </w:r>
      <w:r w:rsidR="00131871" w:rsidRPr="00131871">
        <w:t xml:space="preserve"> </w:t>
      </w:r>
      <w:r w:rsidRPr="00131871">
        <w:t>thrombocytopenia (6%), and leukopenia (4%).</w:t>
      </w:r>
    </w:p>
    <w:p w14:paraId="4F7F2ABA" w14:textId="0599CDD9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 xml:space="preserve">Conclusions: </w:t>
      </w:r>
      <w:r w:rsidRPr="00131871">
        <w:t>[²²⁵Ac]Ac-PSMA therapy demonstrates promising efficacy in mCRPC patients with an</w:t>
      </w:r>
      <w:r w:rsidR="00131871" w:rsidRPr="00131871">
        <w:t xml:space="preserve"> </w:t>
      </w:r>
      <w:r w:rsidRPr="00131871">
        <w:t>acceptable safety profile. Treatment efficacy appears inversely correlated with previous treatment</w:t>
      </w:r>
      <w:r w:rsidR="00131871" w:rsidRPr="00131871">
        <w:t xml:space="preserve"> </w:t>
      </w:r>
      <w:r w:rsidRPr="00131871">
        <w:t>exposure, suggesting potential benefits from earlier integration in the treatment sequence. Prospective</w:t>
      </w:r>
      <w:r w:rsidR="00131871" w:rsidRPr="00131871">
        <w:t xml:space="preserve"> </w:t>
      </w:r>
      <w:r w:rsidRPr="00131871">
        <w:t>randomized trials are needed to confirm these findings and establish optimal patient selection criteria.</w:t>
      </w:r>
    </w:p>
    <w:p w14:paraId="2AC13415" w14:textId="157DFA8C" w:rsidR="003E48F4" w:rsidRDefault="003E48F4" w:rsidP="003E48F4">
      <w:r w:rsidRPr="003E48F4">
        <w:rPr>
          <w:b/>
          <w:bCs/>
        </w:rPr>
        <w:t xml:space="preserve">Keywords: </w:t>
      </w:r>
      <w:r w:rsidRPr="00131871">
        <w:t>Prostate cancer; PSMA; actinium-225; radioligand therapy; alpha therapy; metastatic</w:t>
      </w:r>
      <w:r w:rsidR="00131871" w:rsidRPr="00131871">
        <w:t xml:space="preserve"> </w:t>
      </w:r>
      <w:r w:rsidRPr="00131871">
        <w:t>castration-resistant prostate cancer</w:t>
      </w:r>
    </w:p>
    <w:p w14:paraId="5F4EA1C6" w14:textId="77777777" w:rsidR="00131871" w:rsidRPr="003E48F4" w:rsidRDefault="00131871" w:rsidP="003E48F4">
      <w:pPr>
        <w:rPr>
          <w:b/>
          <w:bCs/>
        </w:rPr>
      </w:pPr>
    </w:p>
    <w:p w14:paraId="50F7C2E0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1. Introduction</w:t>
      </w:r>
    </w:p>
    <w:p w14:paraId="25EF3BC7" w14:textId="651764BC" w:rsidR="003E48F4" w:rsidRPr="00131871" w:rsidRDefault="003E48F4" w:rsidP="003E48F4">
      <w:r w:rsidRPr="00131871">
        <w:t>Prostate cancer is the second most common cancer in men worldwide and a leading cause of cancer-</w:t>
      </w:r>
      <w:r w:rsidR="00131871" w:rsidRPr="00131871">
        <w:t xml:space="preserve"> </w:t>
      </w:r>
      <w:r w:rsidRPr="00131871">
        <w:t>related death despite advances in treatment options [1,2]. While localized disease is often curable,</w:t>
      </w:r>
      <w:r w:rsidR="00131871" w:rsidRPr="00131871">
        <w:t xml:space="preserve"> </w:t>
      </w:r>
      <w:r w:rsidRPr="00131871">
        <w:t>metastatic prostate cancer, particularly after developing castration resistance, presents significant</w:t>
      </w:r>
      <w:r w:rsidR="00131871" w:rsidRPr="00131871">
        <w:t xml:space="preserve"> </w:t>
      </w:r>
      <w:r w:rsidRPr="00131871">
        <w:t xml:space="preserve">therapeutic challenges [3]. Metastatic castration-resistant prostate </w:t>
      </w:r>
      <w:r w:rsidRPr="00131871">
        <w:lastRenderedPageBreak/>
        <w:t>cancer (mCRPC) is characterized by</w:t>
      </w:r>
      <w:r w:rsidR="00131871" w:rsidRPr="00131871">
        <w:t xml:space="preserve"> </w:t>
      </w:r>
      <w:r w:rsidRPr="00131871">
        <w:t>disease progression despite castrate levels of testosterone, and its management has evolved substantially</w:t>
      </w:r>
      <w:r w:rsidR="00131871" w:rsidRPr="00131871">
        <w:t xml:space="preserve"> </w:t>
      </w:r>
      <w:r w:rsidRPr="00131871">
        <w:t>over the past decade [4].</w:t>
      </w:r>
    </w:p>
    <w:p w14:paraId="6C70073F" w14:textId="71B983B3" w:rsidR="003E48F4" w:rsidRPr="00131871" w:rsidRDefault="003E48F4" w:rsidP="003E48F4">
      <w:r w:rsidRPr="00131871">
        <w:t>Current treatment options for mCRPC include androgen receptor pathway inhibitors (ARPi) such as</w:t>
      </w:r>
      <w:r w:rsidR="00131871" w:rsidRPr="00131871">
        <w:t xml:space="preserve"> </w:t>
      </w:r>
      <w:r w:rsidRPr="00131871">
        <w:t>abiraterone acetate and enzalutamide, taxane-based chemotherapy (docetaxel, cabazitaxel),</w:t>
      </w:r>
      <w:r w:rsidR="00131871" w:rsidRPr="00131871">
        <w:t xml:space="preserve"> </w:t>
      </w:r>
      <w:r w:rsidRPr="00131871">
        <w:t>immunotherapy (sipuleucel-T), and bone-targeted radiopharmaceuticals (radium-223 dichloride) [5,6].</w:t>
      </w:r>
    </w:p>
    <w:p w14:paraId="552CDD6B" w14:textId="5FA5A686" w:rsidR="003E48F4" w:rsidRPr="00131871" w:rsidRDefault="003E48F4" w:rsidP="003E48F4">
      <w:r w:rsidRPr="00131871">
        <w:t>Despite these options, mCRPC remains incurable, with median survival typically ranging from 1.5 to 3</w:t>
      </w:r>
      <w:r w:rsidR="00131871" w:rsidRPr="00131871">
        <w:t xml:space="preserve"> </w:t>
      </w:r>
      <w:r w:rsidRPr="00131871">
        <w:t>years depending on disease burden and previous treatments [7].</w:t>
      </w:r>
    </w:p>
    <w:p w14:paraId="57BFE05A" w14:textId="3C561522" w:rsidR="003E48F4" w:rsidRPr="00131871" w:rsidRDefault="003E48F4" w:rsidP="003E48F4">
      <w:r w:rsidRPr="00131871">
        <w:t>The prostate-specific membrane antigen (PSMA) has emerged as an important molecular target in</w:t>
      </w:r>
      <w:r w:rsidR="00131871" w:rsidRPr="00131871">
        <w:t xml:space="preserve"> </w:t>
      </w:r>
      <w:r w:rsidRPr="00131871">
        <w:t>prostate cancer [8]. PSMA is a transmembrane glycoprotein that is overexpressed in the vast majority of</w:t>
      </w:r>
      <w:r w:rsidR="00131871" w:rsidRPr="00131871">
        <w:t xml:space="preserve"> </w:t>
      </w:r>
      <w:r w:rsidRPr="00131871">
        <w:t>prostate cancer cells, particularly in advanced and castration-resistant disease [9]. This differential</w:t>
      </w:r>
      <w:r w:rsidR="00131871" w:rsidRPr="00131871">
        <w:t xml:space="preserve"> </w:t>
      </w:r>
      <w:r w:rsidRPr="00131871">
        <w:t>expression between malignant and non-malignant tissues makes PSMA an attractive target for both</w:t>
      </w:r>
      <w:r w:rsidR="00131871" w:rsidRPr="00131871">
        <w:t xml:space="preserve"> </w:t>
      </w:r>
      <w:r w:rsidRPr="00131871">
        <w:t>diagnostic imaging and therapeutic applications [10].</w:t>
      </w:r>
    </w:p>
    <w:p w14:paraId="57772E73" w14:textId="0644C2EB" w:rsidR="003E48F4" w:rsidRPr="00131871" w:rsidRDefault="003E48F4" w:rsidP="003E48F4">
      <w:r w:rsidRPr="00131871">
        <w:t>Radioligand therapy (RLT) targeting PSMA represents a paradigm shift in mCRPC management [11].</w:t>
      </w:r>
      <w:r w:rsidR="00131871" w:rsidRPr="00131871">
        <w:t xml:space="preserve"> </w:t>
      </w:r>
      <w:r w:rsidRPr="00131871">
        <w:t>Following the success of beta-emitting [¹⁷⁷Lu]Lu-PSMA-617 (Pluvicto), which demonstrated improved</w:t>
      </w:r>
      <w:r w:rsidR="00131871" w:rsidRPr="00131871">
        <w:t xml:space="preserve"> </w:t>
      </w:r>
      <w:r w:rsidRPr="00131871">
        <w:t>overall survival in the phase III VISION trial [12], alpha-emitting radiopharmaceuticals have generated</w:t>
      </w:r>
      <w:r w:rsidR="00131871" w:rsidRPr="00131871">
        <w:t xml:space="preserve"> </w:t>
      </w:r>
      <w:r w:rsidRPr="00131871">
        <w:t>considerable interest. Alpha emitters, including actinium-225 (²²⁵Ac), offer theoretical advantages over</w:t>
      </w:r>
      <w:r w:rsidR="00131871" w:rsidRPr="00131871">
        <w:t xml:space="preserve"> </w:t>
      </w:r>
      <w:r w:rsidRPr="00131871">
        <w:t>beta emitters due to their higher linear energy transfer resulting in more potent DNA damage, shorter</w:t>
      </w:r>
      <w:r w:rsidR="00131871" w:rsidRPr="00131871">
        <w:t xml:space="preserve"> </w:t>
      </w:r>
      <w:r w:rsidRPr="00131871">
        <w:t xml:space="preserve">tissue penetration range reducing off-target effects, and potential to overcome resistance </w:t>
      </w:r>
      <w:r w:rsidR="00131871" w:rsidRPr="00131871">
        <w:t xml:space="preserve"> </w:t>
      </w:r>
      <w:r w:rsidRPr="00131871">
        <w:t>echanisms</w:t>
      </w:r>
      <w:r w:rsidR="00131871" w:rsidRPr="00131871">
        <w:t xml:space="preserve"> </w:t>
      </w:r>
      <w:r w:rsidRPr="00131871">
        <w:t>[13,14].</w:t>
      </w:r>
    </w:p>
    <w:p w14:paraId="5CAF1099" w14:textId="7C6143D3" w:rsidR="003E48F4" w:rsidRPr="00131871" w:rsidRDefault="003E48F4" w:rsidP="003E48F4">
      <w:r w:rsidRPr="00131871">
        <w:t>[²²⁵Ac]Ac-PSMA therapy, including various ligands such as PSMA-617, PSMA-I&amp;T, and J591, has shown</w:t>
      </w:r>
      <w:r w:rsidR="00131871" w:rsidRPr="00131871">
        <w:t xml:space="preserve"> </w:t>
      </w:r>
      <w:r w:rsidRPr="00131871">
        <w:t>promising results in preliminary studies, particularly in patients who have exhausted standard treatment</w:t>
      </w:r>
      <w:r w:rsidR="00131871" w:rsidRPr="00131871">
        <w:t xml:space="preserve"> </w:t>
      </w:r>
      <w:r w:rsidRPr="00131871">
        <w:t>options [15,16]. However, the overall efficacy and safety of this approach across different patient</w:t>
      </w:r>
      <w:r w:rsidR="00131871" w:rsidRPr="00131871">
        <w:t xml:space="preserve"> </w:t>
      </w:r>
      <w:r w:rsidRPr="00131871">
        <w:t>populations and in relation to previous treatment exposure remains incompletely characterized.</w:t>
      </w:r>
    </w:p>
    <w:p w14:paraId="10E5C7D2" w14:textId="78327115" w:rsidR="003E48F4" w:rsidRPr="003E48F4" w:rsidRDefault="003E48F4" w:rsidP="003E48F4">
      <w:pPr>
        <w:rPr>
          <w:b/>
          <w:bCs/>
        </w:rPr>
      </w:pPr>
      <w:r w:rsidRPr="00131871">
        <w:t>This systematic review and meta-analysis aims to comprehensively evaluate the efficacy and safety of</w:t>
      </w:r>
      <w:r w:rsidR="00131871" w:rsidRPr="00131871">
        <w:t xml:space="preserve"> </w:t>
      </w:r>
      <w:r w:rsidRPr="00131871">
        <w:t>[²²⁵Ac]Ac-PSMA therapy in patients with mCRPC, with particular attention to response rates stratified by</w:t>
      </w:r>
      <w:r w:rsidR="00131871" w:rsidRPr="00131871">
        <w:t xml:space="preserve"> </w:t>
      </w:r>
      <w:r w:rsidRPr="00131871">
        <w:t>previous treatments, progression-free survival, overall survival, and adverse event profiles. By synthesizing</w:t>
      </w:r>
      <w:r w:rsidR="00131871" w:rsidRPr="00131871">
        <w:t xml:space="preserve"> </w:t>
      </w:r>
      <w:r w:rsidRPr="00131871">
        <w:t>the available evidence, we seek to provide insights into the potential role of this therapeutic</w:t>
      </w:r>
      <w:r w:rsidRPr="003E48F4">
        <w:rPr>
          <w:b/>
          <w:bCs/>
        </w:rPr>
        <w:t xml:space="preserve"> </w:t>
      </w:r>
      <w:r w:rsidRPr="00131871">
        <w:t>approach in</w:t>
      </w:r>
      <w:r w:rsidR="00131871" w:rsidRPr="00131871">
        <w:t xml:space="preserve"> </w:t>
      </w:r>
      <w:r w:rsidRPr="00131871">
        <w:t>the evolving treatment landscape of mCRPC.</w:t>
      </w:r>
    </w:p>
    <w:p w14:paraId="5A2F7F61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2. Materials and Methods</w:t>
      </w:r>
    </w:p>
    <w:p w14:paraId="6B36A000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2.1. Search Strategy and Study Selection</w:t>
      </w:r>
    </w:p>
    <w:p w14:paraId="0DD46A96" w14:textId="5DBCC0E4" w:rsidR="003E48F4" w:rsidRPr="00131871" w:rsidRDefault="003E48F4" w:rsidP="003E48F4">
      <w:r w:rsidRPr="00131871">
        <w:t>This systematic review was conducted according to the Preferred Reporting Items for Systematic Reviews</w:t>
      </w:r>
      <w:r w:rsidR="00131871" w:rsidRPr="00131871">
        <w:t xml:space="preserve"> </w:t>
      </w:r>
      <w:r w:rsidRPr="00131871">
        <w:t>and Meta-Analyses (PRISMA) guidelines [17]. A comprehensive literature search was performed in</w:t>
      </w:r>
      <w:r w:rsidR="00131871" w:rsidRPr="00131871">
        <w:t xml:space="preserve"> </w:t>
      </w:r>
      <w:r w:rsidRPr="00131871">
        <w:t>PubMed/MEDLINE, Embase, Cochrane Library, and Web of Science from inception until March 2025. The</w:t>
      </w:r>
      <w:r w:rsidR="00131871" w:rsidRPr="00131871">
        <w:t xml:space="preserve"> </w:t>
      </w:r>
      <w:r w:rsidRPr="00131871">
        <w:t xml:space="preserve">search strategy included terms related to prostate </w:t>
      </w:r>
      <w:r w:rsidRPr="00131871">
        <w:lastRenderedPageBreak/>
        <w:t>cancer, PSMA, actinium-225, and radioligand therapy.</w:t>
      </w:r>
      <w:r w:rsidR="00131871" w:rsidRPr="00131871">
        <w:t xml:space="preserve"> </w:t>
      </w:r>
      <w:r w:rsidRPr="00131871">
        <w:t>Conference abstracts from major oncology and nuclear medicine meetings (ASCO, ESMO, EANM,</w:t>
      </w:r>
      <w:r w:rsidR="00131871">
        <w:t xml:space="preserve"> </w:t>
      </w:r>
      <w:r w:rsidRPr="00131871">
        <w:t>SNMMI) were also reviewed to identify relevant unpublished studies.</w:t>
      </w:r>
      <w:r w:rsidR="00131871" w:rsidRPr="00131871">
        <w:t xml:space="preserve"> </w:t>
      </w:r>
      <w:r w:rsidRPr="00131871">
        <w:t>Studies were eligible for inclusion if they: (1) included patients with metastatic castration-resistant</w:t>
      </w:r>
      <w:r w:rsidR="00131871">
        <w:t xml:space="preserve"> </w:t>
      </w:r>
      <w:r w:rsidRPr="00131871">
        <w:t>prostate cancer; (2) evaluated [²²⁵Ac]Ac-PSMA therapy (with any PSMA ligand); (3) reported efficacy</w:t>
      </w:r>
      <w:r w:rsidR="00131871" w:rsidRPr="00131871">
        <w:t xml:space="preserve"> </w:t>
      </w:r>
      <w:r w:rsidRPr="00131871">
        <w:t>outcomes including PSA response rates, progression-free survival (PFS), and/or overall survival (OS); and</w:t>
      </w:r>
      <w:r w:rsidR="00131871" w:rsidRPr="00131871">
        <w:t xml:space="preserve"> </w:t>
      </w:r>
      <w:r w:rsidRPr="00131871">
        <w:t>(4) were published in English. Both prospective and retrospective studies were eligible. Case reports,</w:t>
      </w:r>
      <w:r w:rsidR="00131871" w:rsidRPr="00131871">
        <w:t xml:space="preserve"> </w:t>
      </w:r>
      <w:r w:rsidRPr="00131871">
        <w:t>studies with fewer than 10 patients, reviews, and preclinical studies were excluded.</w:t>
      </w:r>
      <w:r w:rsidR="00131871" w:rsidRPr="00131871">
        <w:t xml:space="preserve"> </w:t>
      </w:r>
      <w:r w:rsidRPr="00131871">
        <w:t>Two independent reviewers screened titles and abstracts, followed by full-text review of potentially</w:t>
      </w:r>
      <w:r w:rsidR="00131871" w:rsidRPr="00131871">
        <w:t xml:space="preserve"> </w:t>
      </w:r>
      <w:r w:rsidRPr="00131871">
        <w:t>eligible studies. Disagreements were resolved by consensus or by a third reviewer. The study selection</w:t>
      </w:r>
      <w:r w:rsidR="00131871">
        <w:t xml:space="preserve"> </w:t>
      </w:r>
      <w:r w:rsidRPr="00131871">
        <w:t>process is illustrated in Figure 1.</w:t>
      </w:r>
    </w:p>
    <w:p w14:paraId="2909B344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2.2. Data Extraction and Quality Assessment</w:t>
      </w:r>
    </w:p>
    <w:p w14:paraId="565BB4E2" w14:textId="7694FBD7" w:rsidR="003E48F4" w:rsidRPr="00131871" w:rsidRDefault="003E48F4" w:rsidP="003E48F4">
      <w:r w:rsidRPr="00131871">
        <w:t>Data extraction was performed independently by two investigators using a standardized form. The</w:t>
      </w:r>
      <w:r w:rsidR="00131871" w:rsidRPr="00131871">
        <w:t xml:space="preserve"> </w:t>
      </w:r>
      <w:r w:rsidRPr="00131871">
        <w:t>following information was collected: study characteristics (author, year, design, sample size), patient</w:t>
      </w:r>
      <w:r w:rsidR="00131871" w:rsidRPr="00131871">
        <w:t xml:space="preserve"> </w:t>
      </w:r>
      <w:r w:rsidRPr="00131871">
        <w:t>demographics and baseline clinical characteristics (age, ECOG performance status, PSA level, metastatic</w:t>
      </w:r>
      <w:r w:rsidR="00131871" w:rsidRPr="00131871">
        <w:t xml:space="preserve"> </w:t>
      </w:r>
      <w:r w:rsidRPr="00131871">
        <w:t>sites), previous treatments (ADT, ARPi, taxane-based chemotherapy, [¹⁷⁷Lu]Lu-PSMA therapy,</w:t>
      </w:r>
      <w:r w:rsidR="00131871" w:rsidRPr="00131871">
        <w:t xml:space="preserve"> </w:t>
      </w:r>
      <w:r w:rsidRPr="00131871">
        <w:t>radium-223), details of [²²⁵Ac]Ac-PSMA therapy (radiopharmaceutical, regimen, number of cycles),</w:t>
      </w:r>
      <w:r w:rsidR="00131871" w:rsidRPr="00131871">
        <w:t xml:space="preserve"> </w:t>
      </w:r>
      <w:r w:rsidRPr="00131871">
        <w:t>efficacy outcomes (PSA50 response rate, any PSA reduction, PFS, OS), and safety data (adverse events by</w:t>
      </w:r>
      <w:r w:rsidR="00131871">
        <w:t xml:space="preserve"> </w:t>
      </w:r>
      <w:r w:rsidRPr="00131871">
        <w:t>type and grade).</w:t>
      </w:r>
    </w:p>
    <w:p w14:paraId="35607928" w14:textId="550DE590" w:rsidR="003E48F4" w:rsidRPr="00131871" w:rsidRDefault="003E48F4" w:rsidP="003E48F4">
      <w:r w:rsidRPr="00131871">
        <w:t>The methodological quality of included studies was assessed using the Newcastle-Ottawa Scale for non-</w:t>
      </w:r>
      <w:r w:rsidR="00131871" w:rsidRPr="00131871">
        <w:t xml:space="preserve"> </w:t>
      </w:r>
      <w:r w:rsidRPr="00131871">
        <w:t>randomized studies [18] and the Cochrane Risk of Bias Tool for randomized controlled trials [19]. Quality</w:t>
      </w:r>
      <w:r w:rsidR="00131871" w:rsidRPr="00131871">
        <w:t xml:space="preserve"> </w:t>
      </w:r>
      <w:r w:rsidRPr="00131871">
        <w:t>assessment was performed by two independent reviewers, with disagreements resolved by consensus.</w:t>
      </w:r>
    </w:p>
    <w:p w14:paraId="5114B8B0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2.3. Outcomes and Statistical Analysis</w:t>
      </w:r>
    </w:p>
    <w:p w14:paraId="570DFE7E" w14:textId="37E055FC" w:rsidR="003E48F4" w:rsidRPr="00131871" w:rsidRDefault="003E48F4" w:rsidP="003E48F4">
      <w:r w:rsidRPr="00131871">
        <w:t>The primary outcome was the PSA50 response rate, defined as the proportion of patients achieving a</w:t>
      </w:r>
      <w:r w:rsidR="00131871" w:rsidRPr="00131871">
        <w:t xml:space="preserve"> </w:t>
      </w:r>
      <w:r w:rsidRPr="00131871">
        <w:t>≥50% decline in PSA from baseline. Secondary outcomes included the proportion of patients with any</w:t>
      </w:r>
      <w:r w:rsidR="00131871" w:rsidRPr="00131871">
        <w:t xml:space="preserve"> </w:t>
      </w:r>
      <w:r w:rsidRPr="00131871">
        <w:t>PSA reduction, median PFS, median OS, and the incidence of adverse events stratified by severity.</w:t>
      </w:r>
    </w:p>
    <w:p w14:paraId="31B41BE5" w14:textId="6BEF5EE7" w:rsidR="003E48F4" w:rsidRPr="00131871" w:rsidRDefault="003E48F4" w:rsidP="003E48F4">
      <w:r w:rsidRPr="00131871">
        <w:t>Meta-analysis of proportions was conducted using a random-effects model with the Freeman-Tukey</w:t>
      </w:r>
      <w:r w:rsidR="00131871">
        <w:t xml:space="preserve"> </w:t>
      </w:r>
      <w:r w:rsidRPr="00131871">
        <w:t>double arcsine transformation to stabilize variances. Heterogeneity was assessed using the I² statistic,</w:t>
      </w:r>
      <w:r w:rsidR="00131871">
        <w:t xml:space="preserve"> </w:t>
      </w:r>
      <w:r w:rsidRPr="00131871">
        <w:t>with values of 25%, 50%, and 75% representing low, moderate, and high heterogeneity, respectively.</w:t>
      </w:r>
    </w:p>
    <w:p w14:paraId="1C4754F9" w14:textId="269E85A2" w:rsidR="003E48F4" w:rsidRPr="00131871" w:rsidRDefault="003E48F4" w:rsidP="003E48F4">
      <w:r w:rsidRPr="00131871">
        <w:t>Subgroup analyses were performed based on previous lines of therapy for mCRPC, prior ARPi treatment,</w:t>
      </w:r>
      <w:r w:rsidR="00131871">
        <w:t xml:space="preserve"> </w:t>
      </w:r>
      <w:r w:rsidRPr="00131871">
        <w:t>prior taxane-based chemotherapy, prior [¹⁷⁷Lu]Lu-PSMA therapy, and presence of visceral metastases.</w:t>
      </w:r>
    </w:p>
    <w:p w14:paraId="779390D9" w14:textId="77777777" w:rsidR="003E48F4" w:rsidRPr="00131871" w:rsidRDefault="003E48F4" w:rsidP="003E48F4">
      <w:r w:rsidRPr="00131871">
        <w:t>Publication bias was assessed using funnel plots and Egger's test.</w:t>
      </w:r>
    </w:p>
    <w:p w14:paraId="34BAC358" w14:textId="4DC300DE" w:rsidR="003E48F4" w:rsidRPr="00131871" w:rsidRDefault="003E48F4" w:rsidP="003E48F4">
      <w:r w:rsidRPr="00131871">
        <w:lastRenderedPageBreak/>
        <w:t>Statistical significance was set at p&lt;0.05 for all analyses. All statistical analyses were performed using R</w:t>
      </w:r>
      <w:r w:rsidR="00131871">
        <w:t xml:space="preserve"> </w:t>
      </w:r>
      <w:r w:rsidRPr="00131871">
        <w:t>version 4.1.0 (R Foundation for Statistical Computing, Vienna, Austria) with the "meta" and "metafor"</w:t>
      </w:r>
      <w:r w:rsidR="00131871">
        <w:t xml:space="preserve"> </w:t>
      </w:r>
      <w:r w:rsidRPr="00131871">
        <w:t>packages.</w:t>
      </w:r>
    </w:p>
    <w:p w14:paraId="7BE4D890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3. Results</w:t>
      </w:r>
    </w:p>
    <w:p w14:paraId="1555051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3.1. Study Selection and Characteristics</w:t>
      </w:r>
    </w:p>
    <w:p w14:paraId="6CE69640" w14:textId="0D713F4F" w:rsidR="003E48F4" w:rsidRPr="00131871" w:rsidRDefault="003E48F4" w:rsidP="003E48F4">
      <w:r w:rsidRPr="00131871">
        <w:t>The literature search identified 248 potentially relevant studies. After screening titles and abstracts, 42</w:t>
      </w:r>
      <w:r w:rsidR="00131871" w:rsidRPr="00131871">
        <w:t xml:space="preserve"> </w:t>
      </w:r>
      <w:r w:rsidRPr="00131871">
        <w:t>full-text articles were assessed for eligibility. Ultimately, 17 studies comprising 1,155 patients were</w:t>
      </w:r>
      <w:r w:rsidR="00131871" w:rsidRPr="00131871">
        <w:t xml:space="preserve"> </w:t>
      </w:r>
      <w:r w:rsidRPr="00131871">
        <w:t>included in the meta-analysis (Figure 1).</w:t>
      </w:r>
    </w:p>
    <w:p w14:paraId="1C790B7E" w14:textId="2B08AF81" w:rsidR="003E48F4" w:rsidRPr="00131871" w:rsidRDefault="003E48F4" w:rsidP="003E48F4">
      <w:r w:rsidRPr="00131871">
        <w:t>The characteristics of included studies are summarized in Table 1. Sixteen studies were retrospective, and</w:t>
      </w:r>
      <w:r w:rsidR="00131871" w:rsidRPr="00131871">
        <w:t xml:space="preserve"> </w:t>
      </w:r>
      <w:r w:rsidRPr="00131871">
        <w:t>one was a prospective phase I trial. Sample sizes ranged from 11 to 488 patients. The median/mean age</w:t>
      </w:r>
      <w:r w:rsidR="00131871" w:rsidRPr="00131871">
        <w:t xml:space="preserve"> </w:t>
      </w:r>
      <w:r w:rsidRPr="00131871">
        <w:t>across studies ranged from 62 to 75 years. Most patients had an ECOG performance status of 0-1,</w:t>
      </w:r>
      <w:r w:rsidR="00131871" w:rsidRPr="00131871">
        <w:t xml:space="preserve"> </w:t>
      </w:r>
      <w:r w:rsidRPr="00131871">
        <w:t>although one study included patients with ECOG PS of 3. Median baseline PSA levels ranged from 49 to</w:t>
      </w:r>
      <w:r w:rsidR="00131871" w:rsidRPr="00131871">
        <w:t xml:space="preserve"> </w:t>
      </w:r>
      <w:r w:rsidRPr="00131871">
        <w:t>878 ng/mL.</w:t>
      </w:r>
    </w:p>
    <w:p w14:paraId="4F399592" w14:textId="69FD70B5" w:rsidR="003E48F4" w:rsidRPr="00131871" w:rsidRDefault="003E48F4" w:rsidP="003E48F4">
      <w:r w:rsidRPr="00131871">
        <w:t>The majority of patients had skeletal metastases (82-100%), followed by lymph node metastases</w:t>
      </w:r>
      <w:r w:rsidR="00131871" w:rsidRPr="00131871">
        <w:t xml:space="preserve"> </w:t>
      </w:r>
      <w:r w:rsidRPr="00131871">
        <w:t>(53-95%) and visceral metastases (0-62%). Previous treatments varied considerably across studies:</w:t>
      </w:r>
      <w:r w:rsidR="00131871" w:rsidRPr="00131871">
        <w:t xml:space="preserve"> </w:t>
      </w:r>
      <w:r w:rsidRPr="00131871">
        <w:t>65-100% had received androgen deprivation therapy (ADT), 0-100% had received ARPi, 0-100% had</w:t>
      </w:r>
      <w:r w:rsidR="00131871" w:rsidRPr="00131871">
        <w:t xml:space="preserve"> </w:t>
      </w:r>
      <w:r w:rsidRPr="00131871">
        <w:t>received taxane-based chemotherapy, 0-100% had received prior [¹⁷⁷Lu]Lu-PSMA therapy, and 0-31%</w:t>
      </w:r>
      <w:r w:rsidR="00131871" w:rsidRPr="00131871">
        <w:t xml:space="preserve"> </w:t>
      </w:r>
      <w:r w:rsidRPr="00131871">
        <w:t>had received radium-223 dichloride.</w:t>
      </w:r>
    </w:p>
    <w:p w14:paraId="2951E8EA" w14:textId="466EB834" w:rsidR="003E48F4" w:rsidRPr="00131871" w:rsidRDefault="003E48F4" w:rsidP="003E48F4">
      <w:r w:rsidRPr="00131871">
        <w:t>Most studies used [²²⁵Ac]Ac-PSMA-617 as the radiopharmaceutical (n=15), while one study used</w:t>
      </w:r>
      <w:r w:rsidR="00131871" w:rsidRPr="00131871">
        <w:t xml:space="preserve"> </w:t>
      </w:r>
      <w:r w:rsidRPr="00131871">
        <w:t>[²²⁵Ac]Ac-PSMA-I&amp;T and one used [²²⁵Ac]Ac-J591. Treatment regimens varied between studies, with most</w:t>
      </w:r>
      <w:r w:rsidR="00131871" w:rsidRPr="00131871">
        <w:t xml:space="preserve"> </w:t>
      </w:r>
      <w:r w:rsidRPr="00131871">
        <w:t>administering either 100 kBq/kg every 8 weeks (n=8) or 8 MBq followed by de-escalation every 8 weeks</w:t>
      </w:r>
      <w:r w:rsidR="00131871" w:rsidRPr="00131871">
        <w:t xml:space="preserve"> </w:t>
      </w:r>
      <w:r w:rsidRPr="00131871">
        <w:t>(n=7). The median number of treatment cycles ranged from 1 to 4.</w:t>
      </w:r>
    </w:p>
    <w:p w14:paraId="466129B1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3.2. PSA Response Rates</w:t>
      </w:r>
    </w:p>
    <w:p w14:paraId="68C84361" w14:textId="24DC5506" w:rsidR="003E48F4" w:rsidRPr="00131871" w:rsidRDefault="003E48F4" w:rsidP="003E48F4">
      <w:r w:rsidRPr="00131871">
        <w:t>The pooled PSA50 response rate across all studies was 64% (95% CI: 57-71%) with significant</w:t>
      </w:r>
      <w:r w:rsidR="00131871" w:rsidRPr="00131871">
        <w:t xml:space="preserve"> </w:t>
      </w:r>
      <w:r w:rsidRPr="00131871">
        <w:t>heterogeneity (I² = 87.2%, p&lt;0.0001) (Figure 2). The proportion of patients achieving any PSA reduction</w:t>
      </w:r>
      <w:r w:rsidR="00131871" w:rsidRPr="00131871">
        <w:t xml:space="preserve"> </w:t>
      </w:r>
      <w:r w:rsidRPr="00131871">
        <w:t>ranged from 58% to 96%, with a pooled rate of 85% (95% CI: 80-90%).</w:t>
      </w:r>
    </w:p>
    <w:p w14:paraId="4D10CC9C" w14:textId="26E0A87C" w:rsidR="003E48F4" w:rsidRPr="00131871" w:rsidRDefault="003E48F4" w:rsidP="003E48F4">
      <w:r w:rsidRPr="00131871">
        <w:t>Subgroup analysis based on previous lines of therapy for mCRPC (Table 2, Figure 3) revealed significantly</w:t>
      </w:r>
      <w:r w:rsidR="00131871" w:rsidRPr="00131871">
        <w:t xml:space="preserve"> </w:t>
      </w:r>
      <w:r w:rsidRPr="00131871">
        <w:t>higher PSA50 response rates in treatment-naïve patients (78%, 95% CI: 72-83%) compared to those who</w:t>
      </w:r>
      <w:r w:rsidR="00131871" w:rsidRPr="00131871">
        <w:t xml:space="preserve"> </w:t>
      </w:r>
      <w:r w:rsidRPr="00131871">
        <w:t>had received one prior line of therapy (64%, 95% CI: 60-68%) or multiple prior lines of therapy (54%, 95%</w:t>
      </w:r>
      <w:r w:rsidR="00131871" w:rsidRPr="00131871">
        <w:t xml:space="preserve"> </w:t>
      </w:r>
      <w:r w:rsidRPr="00131871">
        <w:t>CI: 49-58%) (p&lt;0.0001 for trend).</w:t>
      </w:r>
    </w:p>
    <w:p w14:paraId="0BD0EDB8" w14:textId="6AE2BC42" w:rsidR="003E48F4" w:rsidRPr="00131871" w:rsidRDefault="003E48F4" w:rsidP="003E48F4">
      <w:r w:rsidRPr="00131871">
        <w:t>Patients who had not received prior ARPi treatment demonstrated significantly higher PSA50 response</w:t>
      </w:r>
      <w:r w:rsidR="00131871" w:rsidRPr="00131871">
        <w:t xml:space="preserve"> </w:t>
      </w:r>
      <w:r w:rsidRPr="00131871">
        <w:t>rates (72%, 95% CI: 67-77%) compared to those who had received ARPi (54%, 95% CI: 49-58%)</w:t>
      </w:r>
      <w:r w:rsidR="00131871" w:rsidRPr="00131871">
        <w:t xml:space="preserve"> </w:t>
      </w:r>
      <w:r w:rsidRPr="00131871">
        <w:t>(p&lt;0.0001) (Figure 4). Similarly, patients without prior taxane-based chemotherapy showed better</w:t>
      </w:r>
      <w:r w:rsidR="00131871" w:rsidRPr="00131871">
        <w:t xml:space="preserve"> </w:t>
      </w:r>
      <w:r w:rsidRPr="00131871">
        <w:t>responses (74%, 95% CI: 69-79%) than those with prior chemotherapy (58%, 95% CI: 54-62%) (p&lt;0.0001)</w:t>
      </w:r>
      <w:r w:rsidR="00131871" w:rsidRPr="00131871">
        <w:t xml:space="preserve"> </w:t>
      </w:r>
      <w:r w:rsidRPr="00131871">
        <w:t>(Figure 5).</w:t>
      </w:r>
    </w:p>
    <w:p w14:paraId="4B302953" w14:textId="693B6287" w:rsidR="003E48F4" w:rsidRPr="00131871" w:rsidRDefault="003E48F4" w:rsidP="003E48F4">
      <w:r w:rsidRPr="00131871">
        <w:lastRenderedPageBreak/>
        <w:t>Previous exposure to [¹⁷⁷Lu]Lu-PSMA therapy was associated with lower PSA50 response rates (50%, 95%</w:t>
      </w:r>
      <w:r w:rsidR="00131871" w:rsidRPr="00131871">
        <w:t xml:space="preserve"> </w:t>
      </w:r>
      <w:r w:rsidRPr="00131871">
        <w:t>CI: 44-56%) compared to [¹⁷⁷Lu]Lu-PSMA-naïve patients (70%, 95% CI: 66-74%) (p&lt;0.0001) (Figure 6).</w:t>
      </w:r>
    </w:p>
    <w:p w14:paraId="625ED72B" w14:textId="78F60E4A" w:rsidR="003E48F4" w:rsidRPr="00131871" w:rsidRDefault="003E48F4" w:rsidP="003E48F4">
      <w:r w:rsidRPr="00131871">
        <w:t>The presence of visceral metastases did not significantly impact PSA50 response rates (63% with visceral</w:t>
      </w:r>
      <w:r w:rsidR="00131871" w:rsidRPr="00131871">
        <w:t xml:space="preserve"> </w:t>
      </w:r>
      <w:r w:rsidRPr="00131871">
        <w:t>metastases vs. 67% without, p=0.14) (Figure 7).</w:t>
      </w:r>
    </w:p>
    <w:p w14:paraId="6B7173A5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3.3. Survival Outcomes</w:t>
      </w:r>
    </w:p>
    <w:p w14:paraId="7D0633B3" w14:textId="1DA7BAB2" w:rsidR="003E48F4" w:rsidRPr="00131871" w:rsidRDefault="003E48F4" w:rsidP="003E48F4">
      <w:r w:rsidRPr="00131871">
        <w:t>Median progression-free survival (PFS) was reported in 11 studies and ranged from 3 to 15 months, with</w:t>
      </w:r>
      <w:r w:rsidR="00131871">
        <w:t xml:space="preserve"> </w:t>
      </w:r>
      <w:r w:rsidRPr="00131871">
        <w:t>the longest PFS (15 months) observed in a study of patients with limited prior therapy exposure</w:t>
      </w:r>
      <w:r w:rsidR="00131871">
        <w:t xml:space="preserve"> </w:t>
      </w:r>
      <w:r w:rsidRPr="00131871">
        <w:t>[Sathekge et al., 2019]. Median overall survival (OS) was reported in 10 studies and ranged from 8 to 31</w:t>
      </w:r>
      <w:r w:rsidR="00131871">
        <w:t xml:space="preserve"> </w:t>
      </w:r>
      <w:r w:rsidRPr="00131871">
        <w:t>months, with the longest OS (31 months) reported in treatment-naïve patients [Sathekge et al., 2023].</w:t>
      </w:r>
    </w:p>
    <w:p w14:paraId="7F624EC0" w14:textId="3AE610B8" w:rsidR="003E48F4" w:rsidRPr="003E48F4" w:rsidRDefault="003E48F4" w:rsidP="003E48F4">
      <w:pPr>
        <w:rPr>
          <w:b/>
          <w:bCs/>
        </w:rPr>
      </w:pPr>
      <w:r w:rsidRPr="00131871">
        <w:t>Due to the heterogeneity in patient populations and follow-up durations, pooled estimates of PFS and</w:t>
      </w:r>
      <w:r w:rsidR="00131871">
        <w:t xml:space="preserve"> </w:t>
      </w:r>
      <w:r w:rsidRPr="00131871">
        <w:t>OS were not performed. However, studies with higher proportions of heavily pretreated patients</w:t>
      </w:r>
      <w:r w:rsidR="00131871">
        <w:t xml:space="preserve"> </w:t>
      </w:r>
      <w:r w:rsidRPr="00131871">
        <w:t>generally reported shorter survival outcomes.</w:t>
      </w:r>
    </w:p>
    <w:p w14:paraId="79740F49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3.4. Safety Profile</w:t>
      </w:r>
    </w:p>
    <w:p w14:paraId="149328D4" w14:textId="01BB0D25" w:rsidR="003E48F4" w:rsidRPr="00131871" w:rsidRDefault="003E48F4" w:rsidP="003E48F4">
      <w:r w:rsidRPr="00131871">
        <w:t>Safety data are summarized in Table 3. The most common adverse events of any grade were xerostomia</w:t>
      </w:r>
      <w:r w:rsidR="00131871">
        <w:t xml:space="preserve"> </w:t>
      </w:r>
      <w:r w:rsidRPr="00131871">
        <w:t>(77%), anemia (68%), fatigue (61%), renal function impairment (42%), thrombocytopenia (40%),</w:t>
      </w:r>
      <w:r w:rsidR="00131871">
        <w:t xml:space="preserve"> </w:t>
      </w:r>
      <w:r w:rsidRPr="00131871">
        <w:t>leukopenia (36%), and nausea (27%).</w:t>
      </w:r>
    </w:p>
    <w:p w14:paraId="2EAAD66E" w14:textId="616A9159" w:rsidR="003E48F4" w:rsidRPr="00131871" w:rsidRDefault="003E48F4" w:rsidP="003E48F4">
      <w:r w:rsidRPr="00131871">
        <w:t>Grade ≥3 adverse events were less common, with anemia being the most frequent (11%), followed by</w:t>
      </w:r>
      <w:r w:rsidR="00131871">
        <w:t xml:space="preserve"> </w:t>
      </w:r>
      <w:r w:rsidRPr="00131871">
        <w:t>thrombocytopenia (6%), leukopenia (4%), renal function impairment (4%), fatigue (2%), and xerostomia</w:t>
      </w:r>
      <w:r w:rsidR="00131871">
        <w:t xml:space="preserve"> </w:t>
      </w:r>
      <w:r w:rsidRPr="00131871">
        <w:t>(2%). No treatment-related deaths were reported across the included studies.</w:t>
      </w:r>
    </w:p>
    <w:p w14:paraId="38F5676C" w14:textId="1A95BCDF" w:rsidR="003E48F4" w:rsidRPr="00131871" w:rsidRDefault="003E48F4" w:rsidP="003E48F4">
      <w:r w:rsidRPr="00131871">
        <w:t>Xerostomia was predominantly low-grade and often reported as transient or improving over time in most</w:t>
      </w:r>
      <w:r w:rsidR="00131871">
        <w:t xml:space="preserve"> </w:t>
      </w:r>
      <w:r w:rsidRPr="00131871">
        <w:t>studies. Hematological toxicities, while common, were generally manageable and rarely led to treatment</w:t>
      </w:r>
      <w:r w:rsidR="00131871">
        <w:t xml:space="preserve"> </w:t>
      </w:r>
      <w:r w:rsidRPr="00131871">
        <w:t>discontinuation.</w:t>
      </w:r>
    </w:p>
    <w:p w14:paraId="398D7ECA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4. Discussion</w:t>
      </w:r>
    </w:p>
    <w:p w14:paraId="0E3C04FB" w14:textId="7ED968EE" w:rsidR="003E48F4" w:rsidRPr="00131871" w:rsidRDefault="003E48F4" w:rsidP="003E48F4">
      <w:r w:rsidRPr="00131871">
        <w:t>This systematic review and meta-analysis provides a comprehensive assessment of the efficacy and safety</w:t>
      </w:r>
      <w:r w:rsidR="00131871">
        <w:t xml:space="preserve"> </w:t>
      </w:r>
      <w:r w:rsidRPr="00131871">
        <w:t>of [²²⁵Ac]Ac-PSMA therapy in patients with mCRPC. Our findings demonstrate that this treatment</w:t>
      </w:r>
      <w:r w:rsidR="00131871">
        <w:t xml:space="preserve"> </w:t>
      </w:r>
      <w:r w:rsidRPr="00131871">
        <w:t>approach offers promising efficacy with a manageable safety profile, with evidence of activity even in</w:t>
      </w:r>
      <w:r w:rsidR="00131871">
        <w:t xml:space="preserve"> </w:t>
      </w:r>
      <w:r w:rsidRPr="00131871">
        <w:t>heavily pretreated patients.</w:t>
      </w:r>
    </w:p>
    <w:p w14:paraId="11131167" w14:textId="69A21B3E" w:rsidR="003E48F4" w:rsidRPr="00131871" w:rsidRDefault="003E48F4" w:rsidP="003E48F4">
      <w:r w:rsidRPr="00131871">
        <w:t>The pooled PSA50 response rate of 64% across all studies compares favorably with other established</w:t>
      </w:r>
      <w:r w:rsidR="00131871">
        <w:t xml:space="preserve"> </w:t>
      </w:r>
      <w:r w:rsidRPr="00131871">
        <w:t>therapies for mCRPC. In the CARD trial, cabazitaxel demonstrated a PSA50 response rate of 35.7% in</w:t>
      </w:r>
      <w:r w:rsidR="00131871">
        <w:t xml:space="preserve"> </w:t>
      </w:r>
      <w:r w:rsidRPr="00131871">
        <w:t>patients previously treated with docetaxel and ARPi [20]. Similarly, in the VISION trial, [¹⁷⁷Lu]Lu-PSMA-617</w:t>
      </w:r>
      <w:r w:rsidR="00131871">
        <w:t xml:space="preserve"> </w:t>
      </w:r>
      <w:r w:rsidRPr="00131871">
        <w:t>showed a PSA50 response rate of 46% in heavily pretreated patients [12]. The higher response rates</w:t>
      </w:r>
      <w:r w:rsidR="00131871">
        <w:t xml:space="preserve"> </w:t>
      </w:r>
      <w:r w:rsidRPr="00131871">
        <w:t xml:space="preserve">observed with [²²⁵Ac]Ac-PSMA therapy </w:t>
      </w:r>
      <w:r w:rsidRPr="00131871">
        <w:lastRenderedPageBreak/>
        <w:t>may reflect the greater potency of alpha radiation compared to</w:t>
      </w:r>
      <w:r w:rsidR="00131871">
        <w:t xml:space="preserve"> </w:t>
      </w:r>
      <w:r w:rsidRPr="00131871">
        <w:t>beta radiation, although direct comparative studies are lacking.</w:t>
      </w:r>
    </w:p>
    <w:p w14:paraId="2276A526" w14:textId="7B270166" w:rsidR="003E48F4" w:rsidRPr="00131871" w:rsidRDefault="003E48F4" w:rsidP="003E48F4">
      <w:r w:rsidRPr="00131871">
        <w:t>A key finding of our analysis is the inverse relationship between prior treatment exposure and [²²⁵Ac]Ac-PSMA efficacy. Treatment-naïve patients achieved significantly higher PSA50 response rates (78%)</w:t>
      </w:r>
      <w:r w:rsidR="00131871">
        <w:t xml:space="preserve"> </w:t>
      </w:r>
      <w:r w:rsidRPr="00131871">
        <w:t>compared to those who had received multiple prior therapies (54%). This pattern was consistent across</w:t>
      </w:r>
      <w:r w:rsidR="00131871">
        <w:t xml:space="preserve"> </w:t>
      </w:r>
      <w:r w:rsidRPr="00131871">
        <w:t>specific treatment classes, with previous ARPi, taxane-based chemotherapy, and [¹⁷⁷Lu]Lu-PSMA therapy</w:t>
      </w:r>
      <w:r w:rsidR="00131871">
        <w:t xml:space="preserve"> </w:t>
      </w:r>
      <w:r w:rsidRPr="00131871">
        <w:t>all associated with reduced response rates. These observations suggest that earlier integration of</w:t>
      </w:r>
      <w:r w:rsidR="00131871">
        <w:t xml:space="preserve"> </w:t>
      </w:r>
      <w:r w:rsidRPr="00131871">
        <w:t>[²²⁵Ac]Ac-PSMA therapy in the treatment sequence might maximize its therapeutic potential, though this</w:t>
      </w:r>
      <w:r w:rsidR="00131871">
        <w:t xml:space="preserve"> </w:t>
      </w:r>
      <w:r w:rsidRPr="00131871">
        <w:t>hypothesis requires prospective validation.</w:t>
      </w:r>
    </w:p>
    <w:p w14:paraId="05C53A5F" w14:textId="4DCF23E5" w:rsidR="003E48F4" w:rsidRPr="00131871" w:rsidRDefault="003E48F4" w:rsidP="003E48F4">
      <w:r w:rsidRPr="00131871">
        <w:t>The lack of significant impact of visceral metastases on treatment response is noteworthy, as visceral</w:t>
      </w:r>
      <w:r w:rsidR="00131871">
        <w:t xml:space="preserve"> </w:t>
      </w:r>
      <w:r w:rsidRPr="00131871">
        <w:t>disease has traditionally been associated with worse outcomes and reduced response to various</w:t>
      </w:r>
      <w:r w:rsidR="00131871">
        <w:t xml:space="preserve"> </w:t>
      </w:r>
      <w:r w:rsidRPr="00131871">
        <w:t>therapies in mCRPC [21]. This finding suggests that [²²⁵Ac]Ac-PSMA therapy may offer clinical benefit</w:t>
      </w:r>
      <w:r w:rsidR="00131871">
        <w:t xml:space="preserve"> </w:t>
      </w:r>
      <w:r w:rsidRPr="00131871">
        <w:t>across different patterns of metastatic spread, though larger prospective studies are needed to confirm</w:t>
      </w:r>
      <w:r w:rsidR="00131871">
        <w:t xml:space="preserve"> </w:t>
      </w:r>
      <w:r w:rsidRPr="00131871">
        <w:t>this observation.</w:t>
      </w:r>
    </w:p>
    <w:p w14:paraId="69AB8DF2" w14:textId="7A7E9924" w:rsidR="003E48F4" w:rsidRPr="00131871" w:rsidRDefault="003E48F4" w:rsidP="003E48F4">
      <w:r w:rsidRPr="00131871">
        <w:t>Survival outcomes varied considerably across studies, likely reflecting differences in patient selection,</w:t>
      </w:r>
      <w:r w:rsidR="00131871">
        <w:t xml:space="preserve"> </w:t>
      </w:r>
      <w:r w:rsidRPr="00131871">
        <w:t>prior treatments, and follow-up duration. Nevertheless, the range of median PFS (3-15 months) and OS</w:t>
      </w:r>
      <w:r w:rsidR="00131871">
        <w:t xml:space="preserve"> </w:t>
      </w:r>
      <w:r w:rsidRPr="00131871">
        <w:t>(8-31 months) observed with [²²⁵Ac]Ac-PSMA therapy indicates meaningful clinical benefit, particularly</w:t>
      </w:r>
      <w:r w:rsidR="00131871">
        <w:t xml:space="preserve"> </w:t>
      </w:r>
      <w:r w:rsidRPr="00131871">
        <w:t>considering that many included patients had exhausted standard treatment options.</w:t>
      </w:r>
    </w:p>
    <w:p w14:paraId="2D4AF49F" w14:textId="385743D6" w:rsidR="003E48F4" w:rsidRPr="00131871" w:rsidRDefault="003E48F4" w:rsidP="003E48F4">
      <w:r w:rsidRPr="00131871">
        <w:t>The safety profile of [²²⁵Ac]Ac-PSMA therapy was generally acceptable, with xerostomia being the most</w:t>
      </w:r>
      <w:r w:rsidR="00131871">
        <w:t xml:space="preserve"> </w:t>
      </w:r>
      <w:r w:rsidRPr="00131871">
        <w:t>common adverse event, consistent with the known expression of PSMA in salivary glands [22]. While high</w:t>
      </w:r>
      <w:r w:rsidR="00131871">
        <w:t xml:space="preserve"> </w:t>
      </w:r>
      <w:r w:rsidRPr="00131871">
        <w:t>rates of xerostomia were reported (77% overall), severe cases were rare (2%), suggesting that this side</w:t>
      </w:r>
      <w:r w:rsidR="00131871">
        <w:t xml:space="preserve"> </w:t>
      </w:r>
      <w:r w:rsidRPr="00131871">
        <w:t>effect, while impacting quality of life, was typically manageable. Hematological toxicities were common</w:t>
      </w:r>
      <w:r w:rsidR="00131871">
        <w:t xml:space="preserve"> </w:t>
      </w:r>
      <w:r w:rsidRPr="00131871">
        <w:t>but predominantly low-grade, with severe anemia, thrombocytopenia, and leukopenia occurring in 11%,</w:t>
      </w:r>
      <w:r w:rsidR="00131871">
        <w:t xml:space="preserve"> </w:t>
      </w:r>
      <w:r w:rsidRPr="00131871">
        <w:t>6%, and 4% of patients, respectively. These rates appear comparable to or lower than those observed</w:t>
      </w:r>
      <w:r w:rsidR="00131871">
        <w:t xml:space="preserve"> </w:t>
      </w:r>
      <w:r w:rsidRPr="00131871">
        <w:t>with chemotherapy or radium-223 in similar patient populations [23,24].</w:t>
      </w:r>
    </w:p>
    <w:p w14:paraId="11706BAC" w14:textId="131B92C1" w:rsidR="003E48F4" w:rsidRPr="00131871" w:rsidRDefault="003E48F4" w:rsidP="003E48F4">
      <w:r w:rsidRPr="00131871">
        <w:t>Several limitations of this meta-analysis should be acknowledged. First, most included studies were</w:t>
      </w:r>
      <w:r w:rsidR="00131871">
        <w:t xml:space="preserve"> </w:t>
      </w:r>
      <w:r w:rsidRPr="00131871">
        <w:t>retrospective single-center experiences with inherent selection and reporting biases. Only one</w:t>
      </w:r>
      <w:r w:rsidR="00131871">
        <w:t xml:space="preserve"> </w:t>
      </w:r>
      <w:r w:rsidRPr="00131871">
        <w:t>prospective phase I trial was included, highlighting the early stage of clinical development of this</w:t>
      </w:r>
      <w:r w:rsidR="00131871">
        <w:t xml:space="preserve"> </w:t>
      </w:r>
      <w:r w:rsidRPr="00131871">
        <w:t>therapeutic approach. Second, there was significant heterogeneity in patient populations, treatment</w:t>
      </w:r>
      <w:r w:rsidR="00131871">
        <w:t xml:space="preserve"> </w:t>
      </w:r>
      <w:r w:rsidRPr="00131871">
        <w:t>regimens, and outcome assessments across studies. While we performed subgroup analyses to address</w:t>
      </w:r>
      <w:r w:rsidR="00131871">
        <w:t xml:space="preserve"> </w:t>
      </w:r>
      <w:r w:rsidRPr="00131871">
        <w:t>some sources of heterogeneity, residual confounding factors likely remain. Third, follow-up durations</w:t>
      </w:r>
      <w:r w:rsidR="00131871">
        <w:t xml:space="preserve"> </w:t>
      </w:r>
      <w:r w:rsidRPr="00131871">
        <w:t>were relatively short in most studies, limiting conclusions about long-term efficacy and safety. Fourth,</w:t>
      </w:r>
      <w:r w:rsidR="00131871">
        <w:t xml:space="preserve"> </w:t>
      </w:r>
      <w:r w:rsidRPr="00131871">
        <w:t>quality-of-life measures were inconsistently reported, precluding comprehensive assessment of the</w:t>
      </w:r>
    </w:p>
    <w:p w14:paraId="1B19C5B2" w14:textId="77777777" w:rsidR="00131871" w:rsidRDefault="003E48F4" w:rsidP="003E48F4">
      <w:r w:rsidRPr="00131871">
        <w:t>impact of treatment on patient-reported outcomes.</w:t>
      </w:r>
      <w:r w:rsidR="00131871">
        <w:t xml:space="preserve"> </w:t>
      </w:r>
    </w:p>
    <w:p w14:paraId="34FD8406" w14:textId="1D4655F9" w:rsidR="003E48F4" w:rsidRPr="00131871" w:rsidRDefault="003E48F4" w:rsidP="003E48F4">
      <w:r w:rsidRPr="00131871">
        <w:lastRenderedPageBreak/>
        <w:t>Despite these limitations, our findings have important implications for clinical practice and future</w:t>
      </w:r>
      <w:r w:rsidR="00131871">
        <w:t xml:space="preserve"> </w:t>
      </w:r>
      <w:r w:rsidRPr="00131871">
        <w:t>research. For clinicians, [²²⁵Ac]Ac-PSMA therapy represents a promising option for patients with mCRPC,</w:t>
      </w:r>
      <w:r w:rsidR="00131871">
        <w:t xml:space="preserve"> </w:t>
      </w:r>
      <w:r w:rsidRPr="00131871">
        <w:t>particularly those with limited prior treatment exposure. The reasonable safety profile suggests that this</w:t>
      </w:r>
      <w:r w:rsidR="00131871">
        <w:t xml:space="preserve"> </w:t>
      </w:r>
      <w:r w:rsidRPr="00131871">
        <w:t>approach may be feasible even in patients with compromised performance status, though careful patient</w:t>
      </w:r>
      <w:r w:rsidR="00131871">
        <w:t xml:space="preserve"> </w:t>
      </w:r>
      <w:r w:rsidRPr="00131871">
        <w:t>selection remains important.</w:t>
      </w:r>
    </w:p>
    <w:p w14:paraId="3BD22AB6" w14:textId="22F03037" w:rsidR="003E48F4" w:rsidRPr="00131871" w:rsidRDefault="003E48F4" w:rsidP="003E48F4">
      <w:r w:rsidRPr="00131871">
        <w:t>For researchers, our results highlight the need for prospective randomized trials to definitively establish</w:t>
      </w:r>
      <w:r w:rsidR="00131871">
        <w:t xml:space="preserve"> </w:t>
      </w:r>
      <w:r w:rsidRPr="00131871">
        <w:t>the efficacy, optimal timing, and safety of [²²⁵Ac]Ac-PSMA therapy. Such trials should include</w:t>
      </w:r>
      <w:r w:rsidR="00131871">
        <w:t xml:space="preserve"> </w:t>
      </w:r>
      <w:r w:rsidRPr="00131871">
        <w:t>standardized outcome assessments, longer follow-up, comprehensive quality-of-life measures, and</w:t>
      </w:r>
      <w:r w:rsidR="00131871">
        <w:t xml:space="preserve"> </w:t>
      </w:r>
      <w:r w:rsidRPr="00131871">
        <w:t>biomarker analyses to identify predictors of response and resistance. The ongoing phase I/II trials of</w:t>
      </w:r>
      <w:r w:rsidR="00131871">
        <w:t xml:space="preserve"> </w:t>
      </w:r>
      <w:r w:rsidRPr="00131871">
        <w:t>various [²²⁵Ac]Ac-PSMA compounds will provide valuable additional data to inform clinical development.</w:t>
      </w:r>
    </w:p>
    <w:p w14:paraId="1CE8688F" w14:textId="62183F71" w:rsidR="003E48F4" w:rsidRPr="00131871" w:rsidRDefault="003E48F4" w:rsidP="003E48F4">
      <w:r w:rsidRPr="00131871">
        <w:t>Future research directions should also include investigations of combination approaches, such as</w:t>
      </w:r>
      <w:r w:rsidR="00131871">
        <w:t xml:space="preserve"> </w:t>
      </w:r>
      <w:r w:rsidRPr="00131871">
        <w:t>[²²⁵Ac]Ac-PSMA therapy with ARPi, immunotherapy, or DNA damage response inhibitors, which may</w:t>
      </w:r>
      <w:r w:rsidR="00131871">
        <w:t xml:space="preserve"> </w:t>
      </w:r>
      <w:r w:rsidRPr="00131871">
        <w:t>enhance efficacy through synergistic mechanisms. Additionally, strategies to mitigate xerostomia and</w:t>
      </w:r>
      <w:r w:rsidR="00131871">
        <w:t xml:space="preserve"> </w:t>
      </w:r>
      <w:r w:rsidRPr="00131871">
        <w:t>other toxicities, such as modified dosing regimens, alternative ligands with improved targeting, or salivary</w:t>
      </w:r>
      <w:r w:rsidR="00131871">
        <w:t xml:space="preserve"> </w:t>
      </w:r>
      <w:r w:rsidRPr="00131871">
        <w:t>gland protectants, warrant further exploration.</w:t>
      </w:r>
    </w:p>
    <w:p w14:paraId="1AFFF411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5. Conclusion</w:t>
      </w:r>
    </w:p>
    <w:p w14:paraId="1D2B83CA" w14:textId="761AFD05" w:rsidR="003E48F4" w:rsidRPr="00131871" w:rsidRDefault="003E48F4" w:rsidP="003E48F4">
      <w:r w:rsidRPr="00131871">
        <w:t>This systematic review and meta-analysis demonstrates that [²²⁵Ac]Ac-PSMA therapy offers promising</w:t>
      </w:r>
      <w:r w:rsidR="00131871">
        <w:t xml:space="preserve"> </w:t>
      </w:r>
      <w:r w:rsidRPr="00131871">
        <w:t>efficacy in patients with mCRPC, with PSA50 response rates of 64% overall and up to 78% in treatment-naïve patients. Treatment efficacy appears inversely correlated with previous treatment exposure,</w:t>
      </w:r>
      <w:r w:rsidR="00131871">
        <w:t xml:space="preserve"> </w:t>
      </w:r>
      <w:r w:rsidRPr="00131871">
        <w:t>suggesting potential benefits from earlier integration in the treatment sequence. The safety profile is</w:t>
      </w:r>
      <w:r w:rsidR="00131871">
        <w:t xml:space="preserve"> </w:t>
      </w:r>
      <w:r w:rsidRPr="00131871">
        <w:t>characterized by manageable toxicities, primarily xerostomia and mild-to-moderate hematological</w:t>
      </w:r>
      <w:r w:rsidR="00131871">
        <w:t xml:space="preserve"> </w:t>
      </w:r>
      <w:r w:rsidRPr="00131871">
        <w:t>adverse events. These findings support the continued clinical development of [²²⁵Ac]Ac-PSMA therapy,</w:t>
      </w:r>
      <w:r w:rsidR="00131871">
        <w:t xml:space="preserve"> </w:t>
      </w:r>
      <w:r w:rsidRPr="00131871">
        <w:t>with prospective randomized trials needed to confirm efficacy, establish optimal patient selection criteria,</w:t>
      </w:r>
      <w:r w:rsidR="00131871">
        <w:t xml:space="preserve"> </w:t>
      </w:r>
      <w:r w:rsidRPr="00131871">
        <w:t>and determine the ideal position in the treatment algorithm for mCRPC.</w:t>
      </w:r>
    </w:p>
    <w:p w14:paraId="296BA703" w14:textId="77777777" w:rsidR="003E48F4" w:rsidRPr="00131871" w:rsidRDefault="003E48F4" w:rsidP="003E48F4">
      <w:pPr>
        <w:rPr>
          <w:b/>
          <w:bCs/>
          <w:sz w:val="28"/>
          <w:szCs w:val="28"/>
        </w:rPr>
      </w:pPr>
      <w:r w:rsidRPr="00131871">
        <w:rPr>
          <w:b/>
          <w:bCs/>
          <w:sz w:val="28"/>
          <w:szCs w:val="28"/>
        </w:rPr>
        <w:t>References</w:t>
      </w:r>
    </w:p>
    <w:p w14:paraId="21F2F4A2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1. Sung H, Ferlay J, Siegel RL, et al. Global Cancer Statistics 2020: GLOBOCAN Estimates of Incidence and</w:t>
      </w:r>
    </w:p>
    <w:p w14:paraId="009FBCD4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Mortality Worldwide for 36 Cancers in 185 Countries. CA Cancer J Clin. 2021;71(3):209-249.</w:t>
      </w:r>
    </w:p>
    <w:p w14:paraId="0B1BB98E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2. Cornford P, van den Bergh RCN, Briers E, et al. EAU-EANM-ESTRO-ESUR-SIOG Guidelines on Prostate</w:t>
      </w:r>
    </w:p>
    <w:p w14:paraId="41AA3A54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Cancer. Part II-2020 Update: Treatment of Relapsing and Metastatic Prostate Cancer. Eur Urol.</w:t>
      </w:r>
    </w:p>
    <w:p w14:paraId="3A8C8145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2021;79(2):263-282.</w:t>
      </w:r>
    </w:p>
    <w:p w14:paraId="3B4800A5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lastRenderedPageBreak/>
        <w:t>3. Nuhn P, De Bono JS, Fizazi K, et al. Update on Systemic Prostate Cancer Therapies: Management of</w:t>
      </w:r>
    </w:p>
    <w:p w14:paraId="544D85D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Metastatic Castration-resistant Prostate Cancer in the Era of Precision Oncology. Eur Urol.</w:t>
      </w:r>
    </w:p>
    <w:p w14:paraId="3D148962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2019;75(1):88-99.</w:t>
      </w:r>
    </w:p>
    <w:p w14:paraId="57E74D3E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4. Sartor O, de Bono JS. Metastatic Prostate Cancer. N Engl J Med. 2018;378(7):645-657.</w:t>
      </w:r>
    </w:p>
    <w:p w14:paraId="5F8B18C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5. Armstrong AJ, Szmulewitz RZ, Petrylak DP, et al. ARCHES: A Randomized, Phase III Study of Androgen</w:t>
      </w:r>
    </w:p>
    <w:p w14:paraId="7642F25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Deprivation Therapy With Enzalutamide or Placebo in Men With Metastatic Hormone-Sensitive</w:t>
      </w:r>
    </w:p>
    <w:p w14:paraId="01580891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Prostate Cancer. J Clin Oncol. 2019;37(32):2974-2986.</w:t>
      </w:r>
    </w:p>
    <w:p w14:paraId="294D5A0D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6. de Wit R, de Bono J, Sternberg CN, et al. Cabazitaxel versus Abiraterone or Enzalutamide in</w:t>
      </w:r>
    </w:p>
    <w:p w14:paraId="1784611E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Metastatic Prostate Cancer. N Engl J Med. 2019;381(26):2506-2518.</w:t>
      </w:r>
    </w:p>
    <w:p w14:paraId="4C8E8A4F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7. Halabi S, Lin CY, Kelly WK, et al. Updated prognostic model for predicting overall survival in first-line</w:t>
      </w:r>
    </w:p>
    <w:p w14:paraId="135CE90F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chemotherapy for patients with metastatic castration-resistant prostate cancer. J Clin Oncol.</w:t>
      </w:r>
    </w:p>
    <w:p w14:paraId="6E6592E7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2014;32(7):671-677.</w:t>
      </w:r>
    </w:p>
    <w:p w14:paraId="49C1996F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8. Paschalis A, Sheehan B, Riisnaes R, et al. Prostate-specific Membrane Antigen Heterogeneity and DNA</w:t>
      </w:r>
    </w:p>
    <w:p w14:paraId="2328185C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Repair Defects in Prostate Cancer. Eur Urol. 2019;76(4):469-478.</w:t>
      </w:r>
    </w:p>
    <w:p w14:paraId="543B3D83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9. Hope TA, Aggarwal R, Chee B, et al. Impact of 68Ga-PSMA-11 PET on Management in Patients with</w:t>
      </w:r>
    </w:p>
    <w:p w14:paraId="7FB3BE5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Biochemically Recurrent Prostate Cancer. J Nucl Med. 2017;58(12):1956-1961.</w:t>
      </w:r>
    </w:p>
    <w:p w14:paraId="2D9A74E3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10. Hofman MS, Lawrentschuk N, Francis RJ, et al. Prostate-specific membrane antigen PET-CT in patients</w:t>
      </w:r>
    </w:p>
    <w:p w14:paraId="1982FB6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with high-risk prostate cancer before curative-intent surgery or radiotherapy (proPSMA): a</w:t>
      </w:r>
    </w:p>
    <w:p w14:paraId="50F3C7E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prospective, randomised, multicentre study. Lancet. 2020;395(10231):1208-1216.</w:t>
      </w:r>
    </w:p>
    <w:p w14:paraId="3348E42D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11. Kratochwil C, Fendler WP, Eiber M, et al. EANM procedure guidelines for radionuclide therapy with</w:t>
      </w:r>
    </w:p>
    <w:p w14:paraId="0E666479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lastRenderedPageBreak/>
        <w:t>177Lu-labelled PSMA-ligands (177Lu-PSMA-RLT). Eur J Nucl Med Mol Imaging.</w:t>
      </w:r>
    </w:p>
    <w:p w14:paraId="09292C6F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2019;46(12):2536-2544.</w:t>
      </w:r>
    </w:p>
    <w:p w14:paraId="0B9A53D4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12. Sartor O, de Bono J, Chi KN, et al. Lutetium-177-PSMA-617 for Metastatic Castration-Resistant</w:t>
      </w:r>
    </w:p>
    <w:p w14:paraId="3A8E93A7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Prostate Cancer. N Engl J Med. 2021;385(12):1091-1103.</w:t>
      </w:r>
    </w:p>
    <w:p w14:paraId="0AC34AE2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13. Kratochwil C, Bruchertseifer F, Giesel FL, et al. 225Ac-PSMA-617 for PSMA-Targeted α-Radiation</w:t>
      </w:r>
    </w:p>
    <w:p w14:paraId="011C7215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Therapy of Metastatic Castration-Resistant Prostate Cancer. J Nucl Med. 2016;57(12):1941-1944.</w:t>
      </w:r>
    </w:p>
    <w:p w14:paraId="3B514906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14. Sgouros G, Bodei L, McDevitt MR, Nedrow JR. Radiopharmaceutical therapy in cancer: clinical</w:t>
      </w:r>
    </w:p>
    <w:p w14:paraId="386B4A44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advances and challenges. Nat Rev Drug Discov. 2020;19(9):589-608.</w:t>
      </w:r>
    </w:p>
    <w:p w14:paraId="070CE4E7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15. Kratochwil C, Bruchertseifer F, Rathke H, et al. Targeted α-Therapy of Metastatic Castration-Resistant</w:t>
      </w:r>
    </w:p>
    <w:p w14:paraId="14B62F5D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Prostate Cancer with 225Ac-PSMA-617: Swimmer-Plot Analysis Suggests Efficacy Regarding Duration</w:t>
      </w:r>
    </w:p>
    <w:p w14:paraId="2C43B42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of Tumor Control. J Nucl Med. 2018;59(5):795-802.</w:t>
      </w:r>
    </w:p>
    <w:p w14:paraId="3C637DA2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16. Sathekge M, Bruchertseifer F, Vorster M, et al. Predictors of Overall and Disease-Free Survival in</w:t>
      </w:r>
    </w:p>
    <w:p w14:paraId="4FD7898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Metastatic Castration-Resistant Prostate Cancer Patients Receiving 225Ac-PSMA-617 Radioligand</w:t>
      </w:r>
    </w:p>
    <w:p w14:paraId="1AC45D3C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Therapy. J Nucl Med. 2020;61(1):62-69.</w:t>
      </w:r>
    </w:p>
    <w:p w14:paraId="7A398210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17. Page MJ, McKenzie JE, Bossuyt PM, et al. The PRISMA 2020 statement: an updated guideline for</w:t>
      </w:r>
    </w:p>
    <w:p w14:paraId="0B3F93A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reporting systematic reviews. BMJ. 2021;372</w:t>
      </w:r>
    </w:p>
    <w:p w14:paraId="2110409E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.</w:t>
      </w:r>
    </w:p>
    <w:p w14:paraId="078BA3CD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18. Wells GA, Shea B, O'Connell D, et al. The Newcastle-Ottawa Scale (NOS) for assessing the quality of</w:t>
      </w:r>
    </w:p>
    <w:p w14:paraId="13179E02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nonrandomised studies in meta-analyses. Available at: http://www.ohri.ca/programs/</w:t>
      </w:r>
    </w:p>
    <w:p w14:paraId="0C155E7D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clinical_epidemiology/oxford.asp.</w:t>
      </w:r>
    </w:p>
    <w:p w14:paraId="2AD697E2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19. Higgins JPT, Altman DG, Gøtzsche PC, et al. The Cochrane Collaboration's tool for assessing risk of</w:t>
      </w:r>
    </w:p>
    <w:p w14:paraId="058D94F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lastRenderedPageBreak/>
        <w:t>bias in randomised trials. BMJ. 2011;343</w:t>
      </w:r>
    </w:p>
    <w:p w14:paraId="239895BC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.</w:t>
      </w:r>
    </w:p>
    <w:p w14:paraId="2FB50425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20. de Wit R, de Bono J, Sternberg CN, et al. Cabazitaxel versus Abiraterone or Enzalutamide in</w:t>
      </w:r>
    </w:p>
    <w:p w14:paraId="4E6CD7C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Metastatic Prostate Cancer. N Engl J Med. 2019;381(26):2506-2518.</w:t>
      </w:r>
    </w:p>
    <w:p w14:paraId="409EF36A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21. Halabi S, Kelly WK, Ma H, et al. Meta-Analysis Evaluating the Impact of Site of Metastasis on Overall</w:t>
      </w:r>
    </w:p>
    <w:p w14:paraId="2CED089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Survival in Men With Castration-Resistant Prostate Cancer. J Clin Oncol. 2016;34(14):1652-1659.</w:t>
      </w:r>
    </w:p>
    <w:p w14:paraId="1C6F75F4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22. Kratochwil C, Schmidt K, Afshar-Oromieh A, et al. Targeted alpha therapy of mCRPC: Dosimetry</w:t>
      </w:r>
    </w:p>
    <w:p w14:paraId="7B0CD719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estimate of 225Ac-PSMA-617. Eur J Nucl Med Mol Imaging. 2018;45(1):31-37.</w:t>
      </w:r>
    </w:p>
    <w:p w14:paraId="36A4C28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23. Parker C, Nilsson S, Heinrich D, et al. Alpha emitter radium-223 and survival in metastatic prostate</w:t>
      </w:r>
    </w:p>
    <w:p w14:paraId="69C7BD56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cancer. N Engl J Med. 2013;369(3):213-223.</w:t>
      </w:r>
    </w:p>
    <w:p w14:paraId="2EB77598" w14:textId="77777777" w:rsidR="003E48F4" w:rsidRPr="003E48F4" w:rsidRDefault="003E48F4" w:rsidP="003E48F4">
      <w:pPr>
        <w:rPr>
          <w:b/>
          <w:bCs/>
        </w:rPr>
      </w:pPr>
      <w:r w:rsidRPr="003E48F4">
        <w:rPr>
          <w:b/>
          <w:bCs/>
        </w:rPr>
        <w:t>24. Berthold DR, Pond GR, Soban F, et al. Docetaxel plus prednisone or mitoxantrone plus prednisone for</w:t>
      </w:r>
    </w:p>
    <w:p w14:paraId="29D8EBDC" w14:textId="4F270A88" w:rsidR="00B332DA" w:rsidRPr="003E48F4" w:rsidRDefault="003E48F4" w:rsidP="003E48F4">
      <w:r w:rsidRPr="003E48F4">
        <w:rPr>
          <w:b/>
          <w:bCs/>
        </w:rPr>
        <w:t>advanced prostate cancer: updated survival in the TAX 327 study. J Clin Oncol. 2008;26(2):242-245.</w:t>
      </w:r>
    </w:p>
    <w:sectPr w:rsidR="00B332DA" w:rsidRPr="003E48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F5E1C"/>
    <w:multiLevelType w:val="multilevel"/>
    <w:tmpl w:val="2718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0C24A3"/>
    <w:multiLevelType w:val="multilevel"/>
    <w:tmpl w:val="7DE6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3363261">
    <w:abstractNumId w:val="0"/>
  </w:num>
  <w:num w:numId="2" w16cid:durableId="163848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2DA"/>
    <w:rsid w:val="00131871"/>
    <w:rsid w:val="003E48F4"/>
    <w:rsid w:val="005341A1"/>
    <w:rsid w:val="00575F0E"/>
    <w:rsid w:val="00B3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D8E3F"/>
  <w15:chartTrackingRefBased/>
  <w15:docId w15:val="{786B856E-7346-4FBE-B8BE-B2B135C3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3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3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32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3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32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3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3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3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3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32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32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32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32D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32D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32D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32D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32D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32D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3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33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3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3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3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32D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32D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332D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32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32D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32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3538</Words>
  <Characters>20172</Characters>
  <Application>Microsoft Office Word</Application>
  <DocSecurity>0</DocSecurity>
  <Lines>168</Lines>
  <Paragraphs>47</Paragraphs>
  <ScaleCrop>false</ScaleCrop>
  <Company/>
  <LinksUpToDate>false</LinksUpToDate>
  <CharactersWithSpaces>23663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Pini</dc:creator>
  <cp:keywords/>
  <dc:description/>
  <cp:lastModifiedBy>Cristiano Pini</cp:lastModifiedBy>
  <cp:revision>3</cp:revision>
  <dcterms:created xsi:type="dcterms:W3CDTF">2025-04-21T09:27:00Z</dcterms:created>
  <dcterms:modified xsi:type="dcterms:W3CDTF">2025-04-21T09:39:00Z</dcterms:modified>
</cp:coreProperties>
</file>